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32736C" w14:textId="6132DEF5" w:rsidR="00B04986" w:rsidRDefault="00EE6D87" w:rsidP="00CC7356">
      <w:pPr>
        <w:spacing w:line="240" w:lineRule="auto"/>
        <w:rPr>
          <w:rFonts w:cs="Arial"/>
        </w:rPr>
      </w:pPr>
      <w:r w:rsidRPr="00CC7356">
        <w:rPr>
          <w:rFonts w:cs="Arial"/>
          <w:b/>
          <w:bCs/>
          <w:u w:val="single"/>
        </w:rPr>
        <w:t>Title</w:t>
      </w:r>
      <w:r w:rsidRPr="00CC7356">
        <w:rPr>
          <w:rFonts w:cs="Arial"/>
        </w:rPr>
        <w:t>:</w:t>
      </w:r>
      <w:r w:rsidR="00A3154E" w:rsidRPr="00CC7356">
        <w:rPr>
          <w:rFonts w:cs="Arial"/>
        </w:rPr>
        <w:t xml:space="preserve"> </w:t>
      </w:r>
      <w:r w:rsidR="00B04986" w:rsidRPr="00CC7356">
        <w:rPr>
          <w:rFonts w:cs="Arial"/>
        </w:rPr>
        <w:t>Assessment of dermal sensitization by nickel salts in a novel humanized TLR-4 mouse model</w:t>
      </w:r>
      <w:r w:rsidR="00287CDA">
        <w:rPr>
          <w:rFonts w:cs="Arial"/>
        </w:rPr>
        <w:t>_Dataset</w:t>
      </w:r>
    </w:p>
    <w:p w14:paraId="4FB5CAE2" w14:textId="4C2FEDFE" w:rsidR="005E232A" w:rsidRDefault="005E232A" w:rsidP="00CC7356">
      <w:pPr>
        <w:spacing w:line="240" w:lineRule="auto"/>
        <w:rPr>
          <w:rFonts w:cs="Arial"/>
        </w:rPr>
      </w:pPr>
    </w:p>
    <w:p w14:paraId="11426895" w14:textId="790F514A" w:rsidR="005E232A" w:rsidRPr="00CC7356" w:rsidRDefault="005E232A" w:rsidP="00CC7356">
      <w:pPr>
        <w:spacing w:line="240" w:lineRule="auto"/>
        <w:rPr>
          <w:rFonts w:cs="Arial"/>
          <w:b/>
          <w:bCs/>
        </w:rPr>
      </w:pPr>
      <w:r>
        <w:rPr>
          <w:rFonts w:cs="Arial"/>
        </w:rPr>
        <w:t>Dataset Number RD-1103-2024-0</w:t>
      </w:r>
    </w:p>
    <w:p w14:paraId="28EA86CE" w14:textId="559B8774" w:rsidR="001E341C" w:rsidRPr="00CC7356" w:rsidRDefault="001E341C" w:rsidP="00CC7356">
      <w:pPr>
        <w:spacing w:line="240" w:lineRule="auto"/>
        <w:jc w:val="both"/>
        <w:rPr>
          <w:rFonts w:cs="Arial"/>
        </w:rPr>
      </w:pPr>
    </w:p>
    <w:p w14:paraId="32FA8325" w14:textId="7DCA0B71" w:rsidR="00B04986" w:rsidRPr="00CC7356" w:rsidRDefault="00EE6D87" w:rsidP="00CC7356">
      <w:pPr>
        <w:pStyle w:val="EndNoteBibliography"/>
        <w:jc w:val="both"/>
        <w:rPr>
          <w:noProof w:val="0"/>
        </w:rPr>
      </w:pPr>
      <w:r w:rsidRPr="00CC7356">
        <w:rPr>
          <w:b/>
          <w:bCs/>
          <w:u w:val="single"/>
        </w:rPr>
        <w:t>Introduction</w:t>
      </w:r>
      <w:r w:rsidR="00A3154E" w:rsidRPr="00CC7356">
        <w:rPr>
          <w:b/>
          <w:bCs/>
        </w:rPr>
        <w:t xml:space="preserve">: </w:t>
      </w:r>
      <w:r w:rsidR="00F842AF" w:rsidRPr="00CC7356">
        <w:rPr>
          <w:noProof w:val="0"/>
        </w:rPr>
        <w:t xml:space="preserve">Nickel is one of the most </w:t>
      </w:r>
      <w:r w:rsidR="00514149" w:rsidRPr="00CC7356">
        <w:rPr>
          <w:noProof w:val="0"/>
        </w:rPr>
        <w:t xml:space="preserve">common contact allergens worldwide. Despite this prevalence, many of the underlying immunological mechanisms responsible for nickel allergy remain unclear. This knowledge gap is partially attributable to the inherent resistance of laboratory rodents (mice and rats) to dermal sensitization with nickel salts. </w:t>
      </w:r>
      <w:r w:rsidR="00F842AF" w:rsidRPr="00CC7356">
        <w:rPr>
          <w:noProof w:val="0"/>
        </w:rPr>
        <w:t>T</w:t>
      </w:r>
      <w:r w:rsidR="00B04986" w:rsidRPr="00CC7356">
        <w:rPr>
          <w:noProof w:val="0"/>
        </w:rPr>
        <w:t xml:space="preserve">he fundamental goal of this study was to assess the potential utility of the </w:t>
      </w:r>
      <w:r w:rsidR="00F842AF" w:rsidRPr="00CC7356">
        <w:rPr>
          <w:noProof w:val="0"/>
        </w:rPr>
        <w:t xml:space="preserve">novel humanized Toll-like receptor-4 (hTLR-4) </w:t>
      </w:r>
      <w:r w:rsidR="00B04986" w:rsidRPr="00CC7356">
        <w:rPr>
          <w:noProof w:val="0"/>
        </w:rPr>
        <w:t xml:space="preserve">mouse model for use in future </w:t>
      </w:r>
      <w:r w:rsidR="00B04986" w:rsidRPr="00CC7356">
        <w:rPr>
          <w:i/>
          <w:iCs/>
          <w:noProof w:val="0"/>
        </w:rPr>
        <w:t>in vivo</w:t>
      </w:r>
      <w:r w:rsidR="00B04986" w:rsidRPr="00CC7356">
        <w:rPr>
          <w:noProof w:val="0"/>
        </w:rPr>
        <w:t xml:space="preserve"> studies of nickel allergy. Accordingly, hTLR-4 positive and negative mice of both sexes were first incorporated into a</w:t>
      </w:r>
      <w:r w:rsidR="00F842AF" w:rsidRPr="00CC7356">
        <w:rPr>
          <w:noProof w:val="0"/>
        </w:rPr>
        <w:t xml:space="preserve"> Local Lymph Node Assay (</w:t>
      </w:r>
      <w:r w:rsidR="00B04986" w:rsidRPr="00CC7356">
        <w:rPr>
          <w:noProof w:val="0"/>
        </w:rPr>
        <w:t>LLNA</w:t>
      </w:r>
      <w:r w:rsidR="00F842AF" w:rsidRPr="00CC7356">
        <w:rPr>
          <w:noProof w:val="0"/>
        </w:rPr>
        <w:t>)</w:t>
      </w:r>
      <w:r w:rsidR="00B04986" w:rsidRPr="00CC7356">
        <w:rPr>
          <w:noProof w:val="0"/>
        </w:rPr>
        <w:t xml:space="preserve"> to evaluate dermal sensitization following topical exposure to soluble nickel salts</w:t>
      </w:r>
      <w:r w:rsidR="00F842AF" w:rsidRPr="00CC7356">
        <w:rPr>
          <w:noProof w:val="0"/>
        </w:rPr>
        <w:t xml:space="preserve"> (NiSO</w:t>
      </w:r>
      <w:r w:rsidR="00F842AF" w:rsidRPr="00CC7356">
        <w:rPr>
          <w:noProof w:val="0"/>
          <w:vertAlign w:val="subscript"/>
        </w:rPr>
        <w:t>4</w:t>
      </w:r>
      <w:r w:rsidR="00F842AF" w:rsidRPr="00CC7356">
        <w:rPr>
          <w:noProof w:val="0"/>
        </w:rPr>
        <w:t>)</w:t>
      </w:r>
      <w:r w:rsidR="00B04986" w:rsidRPr="00CC7356">
        <w:rPr>
          <w:noProof w:val="0"/>
        </w:rPr>
        <w:t>. The ensuing immune responses were then characterized further by incorporating female and male hTLR-4 positive mice into a non-radioactive endpoint-based assay. Utilizing the same exposure scheme as in the LLNA, mice were euthanized following exposure and the auricular lymph nodes, spleen, and blood were collected to assess various immunological parameters associated with allergy and ACD.</w:t>
      </w:r>
    </w:p>
    <w:p w14:paraId="746917B3" w14:textId="7EBF29F5" w:rsidR="00EE6D87" w:rsidRPr="00CC7356" w:rsidRDefault="00EE6D87" w:rsidP="00CC7356">
      <w:pPr>
        <w:spacing w:line="240" w:lineRule="auto"/>
        <w:rPr>
          <w:rFonts w:cs="Arial"/>
          <w:b/>
          <w:bCs/>
        </w:rPr>
      </w:pPr>
    </w:p>
    <w:p w14:paraId="343385FF" w14:textId="77777777" w:rsidR="001E341C" w:rsidRPr="00CC7356" w:rsidRDefault="001E341C" w:rsidP="00CC7356">
      <w:pPr>
        <w:spacing w:line="240" w:lineRule="auto"/>
        <w:rPr>
          <w:rFonts w:cs="Arial"/>
          <w:b/>
          <w:bCs/>
        </w:rPr>
      </w:pPr>
    </w:p>
    <w:p w14:paraId="06B986A1" w14:textId="484257EA" w:rsidR="00EE6D87" w:rsidRPr="00CC7356" w:rsidRDefault="00EE6D87" w:rsidP="00CC7356">
      <w:pPr>
        <w:spacing w:line="240" w:lineRule="auto"/>
        <w:rPr>
          <w:rFonts w:cs="Arial"/>
          <w:b/>
          <w:bCs/>
          <w:u w:val="single"/>
        </w:rPr>
      </w:pPr>
      <w:r w:rsidRPr="00CC7356">
        <w:rPr>
          <w:rFonts w:cs="Arial"/>
          <w:b/>
          <w:bCs/>
          <w:u w:val="single"/>
        </w:rPr>
        <w:t>Methods Collection:</w:t>
      </w:r>
    </w:p>
    <w:p w14:paraId="14FE5F86" w14:textId="648C0B39" w:rsidR="00B04986" w:rsidRPr="00CC7356" w:rsidRDefault="00514149" w:rsidP="00CC7356">
      <w:pPr>
        <w:pStyle w:val="NoSpacing"/>
        <w:numPr>
          <w:ilvl w:val="0"/>
          <w:numId w:val="2"/>
        </w:numPr>
        <w:jc w:val="both"/>
        <w:rPr>
          <w:rFonts w:cs="Arial"/>
          <w:szCs w:val="22"/>
        </w:rPr>
      </w:pPr>
      <w:r w:rsidRPr="00CC7356">
        <w:rPr>
          <w:rFonts w:cs="Arial"/>
          <w:szCs w:val="22"/>
        </w:rPr>
        <w:t xml:space="preserve">Local Lymph Node Assay- </w:t>
      </w:r>
      <w:r w:rsidR="00F842AF" w:rsidRPr="00CC7356">
        <w:rPr>
          <w:rFonts w:cs="Arial"/>
          <w:szCs w:val="22"/>
        </w:rPr>
        <w:t xml:space="preserve">Three </w:t>
      </w:r>
      <w:r w:rsidR="00B04986" w:rsidRPr="00CC7356">
        <w:rPr>
          <w:rFonts w:cs="Arial"/>
          <w:szCs w:val="22"/>
        </w:rPr>
        <w:t>dosing solutions containing NiSO</w:t>
      </w:r>
      <w:r w:rsidR="00B04986" w:rsidRPr="00CC7356">
        <w:rPr>
          <w:rFonts w:cs="Arial"/>
          <w:szCs w:val="22"/>
          <w:vertAlign w:val="subscript"/>
        </w:rPr>
        <w:t>4</w:t>
      </w:r>
      <w:r w:rsidR="00B04986" w:rsidRPr="00CC7356">
        <w:rPr>
          <w:rFonts w:cs="Arial"/>
          <w:szCs w:val="22"/>
        </w:rPr>
        <w:t xml:space="preserve"> were prepared at concentrations of 2.5, 5.0, and 10% (w/v) in mineral oil</w:t>
      </w:r>
      <w:r w:rsidR="00F842AF" w:rsidRPr="00CC7356">
        <w:rPr>
          <w:rFonts w:cs="Arial"/>
          <w:szCs w:val="22"/>
        </w:rPr>
        <w:t>. M</w:t>
      </w:r>
      <w:r w:rsidR="00B04986" w:rsidRPr="00CC7356">
        <w:rPr>
          <w:rFonts w:cs="Arial"/>
          <w:szCs w:val="22"/>
        </w:rPr>
        <w:t>ice (n = 3-4 per group) were exposed topically to vehicle control (mineral oil) or</w:t>
      </w:r>
      <w:r w:rsidR="00784DE7" w:rsidRPr="00CC7356">
        <w:rPr>
          <w:rFonts w:cs="Arial"/>
          <w:szCs w:val="22"/>
        </w:rPr>
        <w:t xml:space="preserve"> </w:t>
      </w:r>
      <w:r w:rsidR="00B04986" w:rsidRPr="00CC7356">
        <w:rPr>
          <w:rFonts w:cs="Arial"/>
          <w:szCs w:val="22"/>
        </w:rPr>
        <w:t>NiSO</w:t>
      </w:r>
      <w:r w:rsidR="00B04986" w:rsidRPr="00CC7356">
        <w:rPr>
          <w:rFonts w:cs="Arial"/>
          <w:szCs w:val="22"/>
          <w:vertAlign w:val="subscript"/>
        </w:rPr>
        <w:t>4</w:t>
      </w:r>
      <w:r w:rsidR="00B04986" w:rsidRPr="00CC7356">
        <w:rPr>
          <w:rFonts w:cs="Arial"/>
          <w:szCs w:val="22"/>
        </w:rPr>
        <w:t xml:space="preserve"> on the dorsal sides of both ears for three consecutive days (days 1, 2, and 3). Following two days of rest, on day 6, mice were injected intravenously via the lateral tail vein with 20 µCi tritiated ([</w:t>
      </w:r>
      <w:r w:rsidR="00B04986" w:rsidRPr="00CC7356">
        <w:rPr>
          <w:rFonts w:cs="Arial"/>
          <w:szCs w:val="22"/>
          <w:vertAlign w:val="superscript"/>
        </w:rPr>
        <w:t>3</w:t>
      </w:r>
      <w:r w:rsidR="00B04986" w:rsidRPr="00CC7356">
        <w:rPr>
          <w:rFonts w:cs="Arial"/>
          <w:szCs w:val="22"/>
        </w:rPr>
        <w:t>H])-thymidine</w:t>
      </w:r>
      <w:r w:rsidR="00784DE7" w:rsidRPr="00CC7356">
        <w:rPr>
          <w:rFonts w:cs="Arial"/>
          <w:szCs w:val="22"/>
        </w:rPr>
        <w:t xml:space="preserve">. </w:t>
      </w:r>
      <w:r w:rsidR="00B04986" w:rsidRPr="00CC7356">
        <w:rPr>
          <w:rFonts w:cs="Arial"/>
          <w:szCs w:val="22"/>
        </w:rPr>
        <w:t>Five hours after the [</w:t>
      </w:r>
      <w:r w:rsidR="00B04986" w:rsidRPr="00CC7356">
        <w:rPr>
          <w:rFonts w:cs="Arial"/>
          <w:szCs w:val="22"/>
          <w:vertAlign w:val="superscript"/>
        </w:rPr>
        <w:t>3</w:t>
      </w:r>
      <w:r w:rsidR="00B04986" w:rsidRPr="00CC7356">
        <w:rPr>
          <w:rFonts w:cs="Arial"/>
          <w:szCs w:val="22"/>
        </w:rPr>
        <w:t>H]-thymidine injection, mice were euthanized via CO</w:t>
      </w:r>
      <w:r w:rsidR="00B04986" w:rsidRPr="00CC7356">
        <w:rPr>
          <w:rFonts w:cs="Arial"/>
          <w:szCs w:val="22"/>
          <w:vertAlign w:val="subscript"/>
        </w:rPr>
        <w:t>2</w:t>
      </w:r>
      <w:r w:rsidR="00B04986" w:rsidRPr="00CC7356">
        <w:rPr>
          <w:rFonts w:cs="Arial"/>
          <w:szCs w:val="22"/>
        </w:rPr>
        <w:t xml:space="preserve"> asphyxiation. The left and right auricular lymph nodes were excised from each mouse and processed </w:t>
      </w:r>
      <w:r w:rsidRPr="00CC7356">
        <w:rPr>
          <w:rFonts w:cs="Arial"/>
          <w:szCs w:val="22"/>
        </w:rPr>
        <w:t xml:space="preserve">for assessment of radioactivity. </w:t>
      </w:r>
      <w:r w:rsidR="00B04986" w:rsidRPr="00CC7356">
        <w:rPr>
          <w:rFonts w:cs="Arial"/>
          <w:szCs w:val="22"/>
        </w:rPr>
        <w:t xml:space="preserve">Stimulation indices (SI) were then calculated by dividing the mean disintegrations per minute (DPM) for each test group by the mean DPM for the corresponding vehicle control group. </w:t>
      </w:r>
    </w:p>
    <w:p w14:paraId="7DF62BB6" w14:textId="702B10A6" w:rsidR="00821DE5" w:rsidRPr="00CC7356" w:rsidRDefault="00514149" w:rsidP="00CC7356">
      <w:pPr>
        <w:pStyle w:val="NoSpacing"/>
        <w:numPr>
          <w:ilvl w:val="0"/>
          <w:numId w:val="2"/>
        </w:numPr>
        <w:jc w:val="both"/>
        <w:rPr>
          <w:rFonts w:cs="Arial"/>
          <w:szCs w:val="22"/>
        </w:rPr>
      </w:pPr>
      <w:r w:rsidRPr="00CC7356">
        <w:rPr>
          <w:rFonts w:cs="Arial"/>
          <w:szCs w:val="22"/>
        </w:rPr>
        <w:t>10d Study-</w:t>
      </w:r>
      <w:r w:rsidR="002E46A0" w:rsidRPr="00CC7356">
        <w:rPr>
          <w:rFonts w:cs="Arial"/>
          <w:szCs w:val="22"/>
        </w:rPr>
        <w:t xml:space="preserve"> hTLR-4 positive female and male mice (n = 5-10 per group)</w:t>
      </w:r>
      <w:r w:rsidRPr="00CC7356">
        <w:rPr>
          <w:rFonts w:cs="Arial"/>
          <w:szCs w:val="22"/>
        </w:rPr>
        <w:t xml:space="preserve"> </w:t>
      </w:r>
      <w:r w:rsidR="002E46A0" w:rsidRPr="00CC7356">
        <w:rPr>
          <w:rFonts w:cs="Arial"/>
          <w:szCs w:val="22"/>
        </w:rPr>
        <w:t>were exposed to either vehicle control or 10% NiSO</w:t>
      </w:r>
      <w:r w:rsidR="002E46A0" w:rsidRPr="00CC7356">
        <w:rPr>
          <w:rFonts w:cs="Arial"/>
          <w:szCs w:val="22"/>
          <w:vertAlign w:val="subscript"/>
        </w:rPr>
        <w:t xml:space="preserve">4 </w:t>
      </w:r>
      <w:r w:rsidR="002E46A0" w:rsidRPr="00CC7356">
        <w:rPr>
          <w:rFonts w:cs="Arial"/>
          <w:szCs w:val="22"/>
        </w:rPr>
        <w:t>using identical procedures as those employed for dosing in the LLNA study. After three consecutive days of exposure (days 1, 2, and 3), mice were rested for six days and euthanized on day 10 by CO</w:t>
      </w:r>
      <w:r w:rsidR="002E46A0" w:rsidRPr="00CC7356">
        <w:rPr>
          <w:rFonts w:cs="Arial"/>
          <w:szCs w:val="22"/>
          <w:vertAlign w:val="subscript"/>
        </w:rPr>
        <w:t>2</w:t>
      </w:r>
      <w:r w:rsidR="002E46A0" w:rsidRPr="00CC7356">
        <w:rPr>
          <w:rFonts w:cs="Arial"/>
          <w:szCs w:val="22"/>
        </w:rPr>
        <w:t xml:space="preserve"> asphyxiation. </w:t>
      </w:r>
      <w:r w:rsidRPr="00CC7356">
        <w:rPr>
          <w:rFonts w:cs="Arial"/>
          <w:szCs w:val="22"/>
        </w:rPr>
        <w:t>F</w:t>
      </w:r>
      <w:r w:rsidR="002E46A0" w:rsidRPr="00CC7356">
        <w:rPr>
          <w:rFonts w:cs="Arial"/>
          <w:szCs w:val="22"/>
        </w:rPr>
        <w:t xml:space="preserve">ollowing euthanasia, whole blood was </w:t>
      </w:r>
      <w:r w:rsidRPr="00CC7356">
        <w:rPr>
          <w:rFonts w:cs="Arial"/>
          <w:szCs w:val="22"/>
        </w:rPr>
        <w:t>collected,</w:t>
      </w:r>
      <w:r w:rsidR="00821DE5" w:rsidRPr="00CC7356">
        <w:rPr>
          <w:rFonts w:cs="Arial"/>
          <w:szCs w:val="22"/>
        </w:rPr>
        <w:t xml:space="preserve"> the lungs underwent bronchoalveolar lavage (BAL), and the</w:t>
      </w:r>
      <w:r w:rsidR="002E46A0" w:rsidRPr="00CC7356">
        <w:rPr>
          <w:rFonts w:cs="Arial"/>
          <w:szCs w:val="22"/>
        </w:rPr>
        <w:t xml:space="preserve"> auricular lymph nodes (right and left)</w:t>
      </w:r>
      <w:r w:rsidR="00821DE5" w:rsidRPr="00CC7356">
        <w:rPr>
          <w:rFonts w:cs="Arial"/>
          <w:szCs w:val="22"/>
        </w:rPr>
        <w:t xml:space="preserve"> and </w:t>
      </w:r>
      <w:r w:rsidR="002E46A0" w:rsidRPr="00CC7356">
        <w:rPr>
          <w:rFonts w:cs="Arial"/>
          <w:szCs w:val="22"/>
        </w:rPr>
        <w:t>spleen</w:t>
      </w:r>
      <w:r w:rsidR="00821DE5" w:rsidRPr="00CC7356">
        <w:rPr>
          <w:rFonts w:cs="Arial"/>
          <w:szCs w:val="22"/>
        </w:rPr>
        <w:t xml:space="preserve"> were harvested.</w:t>
      </w:r>
    </w:p>
    <w:p w14:paraId="1E09356C" w14:textId="15C9E8D7" w:rsidR="00B04986" w:rsidRPr="00CC7356" w:rsidRDefault="00B04986" w:rsidP="00CC7356">
      <w:pPr>
        <w:pStyle w:val="NoSpacing"/>
        <w:numPr>
          <w:ilvl w:val="0"/>
          <w:numId w:val="2"/>
        </w:numPr>
        <w:jc w:val="both"/>
        <w:rPr>
          <w:rFonts w:cs="Arial"/>
          <w:szCs w:val="22"/>
        </w:rPr>
      </w:pPr>
      <w:r w:rsidRPr="00CC7356">
        <w:rPr>
          <w:rFonts w:cs="Arial"/>
          <w:iCs/>
          <w:szCs w:val="22"/>
        </w:rPr>
        <w:t xml:space="preserve">Total leukocyte number and leukocyte subsets (monocytes, eosinophils, lymphocytes, basophils, and neutrophils) were quantified </w:t>
      </w:r>
      <w:r w:rsidR="00821DE5" w:rsidRPr="00CC7356">
        <w:rPr>
          <w:rFonts w:cs="Arial"/>
          <w:iCs/>
          <w:szCs w:val="22"/>
        </w:rPr>
        <w:t>using whole blood from</w:t>
      </w:r>
      <w:r w:rsidRPr="00CC7356">
        <w:rPr>
          <w:rFonts w:cs="Arial"/>
          <w:iCs/>
          <w:szCs w:val="22"/>
        </w:rPr>
        <w:t xml:space="preserve"> each animal using an IDEXX Procyte Dx Hematology Analyzer.</w:t>
      </w:r>
    </w:p>
    <w:p w14:paraId="2E848123" w14:textId="3A302E7F" w:rsidR="00B04986" w:rsidRPr="00CC7356" w:rsidRDefault="00821DE5" w:rsidP="00CC7356">
      <w:pPr>
        <w:pStyle w:val="Heading2"/>
        <w:numPr>
          <w:ilvl w:val="0"/>
          <w:numId w:val="2"/>
        </w:numPr>
        <w:spacing w:before="0" w:after="0" w:line="240" w:lineRule="auto"/>
        <w:rPr>
          <w:rFonts w:cs="Arial"/>
          <w:i w:val="0"/>
          <w:iCs/>
          <w:szCs w:val="22"/>
        </w:rPr>
      </w:pPr>
      <w:r w:rsidRPr="00CC7356">
        <w:rPr>
          <w:rFonts w:cs="Arial"/>
          <w:i w:val="0"/>
          <w:iCs/>
          <w:szCs w:val="22"/>
        </w:rPr>
        <w:t>Total lymph node cell</w:t>
      </w:r>
      <w:r w:rsidR="00B04986" w:rsidRPr="00CC7356">
        <w:rPr>
          <w:rFonts w:cs="Arial"/>
          <w:i w:val="0"/>
          <w:iCs/>
          <w:szCs w:val="22"/>
        </w:rPr>
        <w:t xml:space="preserve"> number was </w:t>
      </w:r>
      <w:r w:rsidRPr="00CC7356">
        <w:rPr>
          <w:rFonts w:cs="Arial"/>
          <w:i w:val="0"/>
          <w:iCs/>
          <w:szCs w:val="22"/>
        </w:rPr>
        <w:t>determined using a Coulter Counter and spleen wet weight was recorded.</w:t>
      </w:r>
      <w:r w:rsidR="00B04986" w:rsidRPr="00CC7356">
        <w:rPr>
          <w:rFonts w:cs="Arial"/>
          <w:i w:val="0"/>
          <w:iCs/>
          <w:szCs w:val="22"/>
        </w:rPr>
        <w:t xml:space="preserve"> Lymph node and spleen cells were then phenotypically differentiated by flow cytometry to determine absolute number and proportionality of T-lymphocytes (CD4+ and CD8+), B-cells, NK cells, and non-lymphoid cells. </w:t>
      </w:r>
      <w:r w:rsidRPr="00CC7356">
        <w:rPr>
          <w:rFonts w:cs="Arial"/>
          <w:i w:val="0"/>
          <w:iCs/>
          <w:szCs w:val="22"/>
        </w:rPr>
        <w:t xml:space="preserve">Activation status was also determined for lymphocyte subsets. </w:t>
      </w:r>
    </w:p>
    <w:p w14:paraId="4A8AFB80" w14:textId="552097AC" w:rsidR="00CC7356" w:rsidRPr="00CC7356" w:rsidRDefault="00CC7356" w:rsidP="00CC7356">
      <w:pPr>
        <w:pStyle w:val="NoSpacing"/>
        <w:numPr>
          <w:ilvl w:val="0"/>
          <w:numId w:val="2"/>
        </w:numPr>
        <w:jc w:val="both"/>
        <w:rPr>
          <w:rFonts w:cs="Arial"/>
          <w:szCs w:val="22"/>
          <w:lang w:val="en"/>
        </w:rPr>
      </w:pPr>
      <w:r w:rsidRPr="00CC7356">
        <w:rPr>
          <w:rFonts w:cs="Arial"/>
          <w:szCs w:val="22"/>
          <w:lang w:val="en"/>
        </w:rPr>
        <w:t>To quantify circulating total immunoglobulin (Ig)E levels, serum was diluted 1:10 and assessed by enzyme-linked immunosorbent assay (ELISA)</w:t>
      </w:r>
      <w:r>
        <w:rPr>
          <w:rFonts w:cs="Arial"/>
          <w:szCs w:val="22"/>
          <w:lang w:val="en"/>
        </w:rPr>
        <w:t>. A</w:t>
      </w:r>
      <w:r w:rsidRPr="00CC7356">
        <w:rPr>
          <w:rFonts w:cs="Arial"/>
          <w:szCs w:val="22"/>
          <w:lang w:val="en"/>
        </w:rPr>
        <w:t>bsorbance was determined at 450 nm using a Spectramax Vmax plate reader. The concentration of IgE in each sample was interpolated from a standard curve using multipoint analysis.</w:t>
      </w:r>
    </w:p>
    <w:p w14:paraId="50DF4ABF" w14:textId="5592FA3E" w:rsidR="00CC7356" w:rsidRPr="00CC7356" w:rsidRDefault="00CC7356" w:rsidP="00CC7356">
      <w:pPr>
        <w:pStyle w:val="NoSpacing"/>
        <w:numPr>
          <w:ilvl w:val="0"/>
          <w:numId w:val="2"/>
        </w:numPr>
        <w:jc w:val="both"/>
        <w:rPr>
          <w:rFonts w:cs="Arial"/>
          <w:szCs w:val="22"/>
          <w:lang w:val="en"/>
        </w:rPr>
      </w:pPr>
      <w:r w:rsidRPr="00CC7356">
        <w:rPr>
          <w:rFonts w:cs="Arial"/>
          <w:szCs w:val="22"/>
          <w:lang w:val="en"/>
        </w:rPr>
        <w:t>Concentrations of various cytokines were also assessed in the serum of mice. Cytokines were quantified using a Milliplex MAP Kit magnetic bead panel and analyzed on a Luminex 200 system. The specific analytes of interest included a panel of T-helper (Th) type 1-associated cytokines (IL-2, IL-12, interferon [INF]-g) and several major Th2-related cytokines (IL-4, IL-5, IL-13). In addition, IL-6 and IL-10 levels were also assessed.</w:t>
      </w:r>
    </w:p>
    <w:p w14:paraId="65748ED5" w14:textId="77777777" w:rsidR="00CC7356" w:rsidRPr="00CC7356" w:rsidRDefault="00CC7356" w:rsidP="00CC7356">
      <w:pPr>
        <w:spacing w:line="240" w:lineRule="auto"/>
        <w:rPr>
          <w:rFonts w:cs="Arial"/>
        </w:rPr>
      </w:pPr>
    </w:p>
    <w:p w14:paraId="5C159C49" w14:textId="77777777" w:rsidR="00CC7356" w:rsidRPr="00CC7356" w:rsidRDefault="00CC7356" w:rsidP="00CC7356">
      <w:pPr>
        <w:spacing w:line="240" w:lineRule="auto"/>
        <w:rPr>
          <w:rFonts w:cs="Arial"/>
        </w:rPr>
      </w:pPr>
    </w:p>
    <w:p w14:paraId="42767351" w14:textId="5532D1AD" w:rsidR="00EE6D87" w:rsidRPr="00CC7356" w:rsidRDefault="00EE6D87" w:rsidP="00CC7356">
      <w:pPr>
        <w:spacing w:line="240" w:lineRule="auto"/>
        <w:rPr>
          <w:rFonts w:cs="Arial"/>
          <w:b/>
          <w:bCs/>
        </w:rPr>
      </w:pPr>
    </w:p>
    <w:p w14:paraId="1410DDDB" w14:textId="77777777" w:rsidR="001E341C" w:rsidRPr="00CC7356" w:rsidRDefault="001E341C" w:rsidP="00CC7356">
      <w:pPr>
        <w:spacing w:line="240" w:lineRule="auto"/>
        <w:rPr>
          <w:rFonts w:cs="Arial"/>
          <w:b/>
          <w:bCs/>
        </w:rPr>
      </w:pPr>
    </w:p>
    <w:p w14:paraId="63261E6C" w14:textId="77777777" w:rsidR="00287CDA" w:rsidRPr="00287CDA" w:rsidRDefault="00EE6D87" w:rsidP="00287CDA">
      <w:pPr>
        <w:spacing w:line="240" w:lineRule="auto"/>
        <w:rPr>
          <w:rFonts w:cs="Arial"/>
        </w:rPr>
      </w:pPr>
      <w:r w:rsidRPr="00CC7356">
        <w:rPr>
          <w:rFonts w:cs="Arial"/>
          <w:b/>
          <w:bCs/>
          <w:u w:val="single"/>
        </w:rPr>
        <w:t>Citations:</w:t>
      </w:r>
      <w:r w:rsidR="001E341C" w:rsidRPr="00CC7356">
        <w:rPr>
          <w:rFonts w:cs="Arial"/>
          <w:b/>
          <w:bCs/>
        </w:rPr>
        <w:t xml:space="preserve"> </w:t>
      </w:r>
    </w:p>
    <w:p w14:paraId="044C5513" w14:textId="60FB37F8" w:rsidR="00B04986" w:rsidRPr="00CC7356" w:rsidRDefault="008A141E" w:rsidP="00CC7356">
      <w:pPr>
        <w:spacing w:line="240" w:lineRule="auto"/>
        <w:rPr>
          <w:rFonts w:cs="Arial"/>
        </w:rPr>
      </w:pPr>
      <w:r>
        <w:rPr>
          <w:rFonts w:cs="Arial"/>
          <w:color w:val="333333"/>
          <w:shd w:val="clear" w:color="auto" w:fill="FFFFFF"/>
        </w:rPr>
        <w:t>Roach, KA, Anderson, SE, Waggy, C, Aldinger, J, Stefaniak, AB, &amp; Roberts, JR. (2024). Assessment of dermal sensitization by nickel salts in a novel humanized TLR-4 mouse model. </w:t>
      </w:r>
      <w:r>
        <w:rPr>
          <w:rFonts w:cs="Arial"/>
          <w:i/>
          <w:iCs/>
          <w:color w:val="333333"/>
          <w:shd w:val="clear" w:color="auto" w:fill="FFFFFF"/>
        </w:rPr>
        <w:t>Journal of Immunotoxicology</w:t>
      </w:r>
      <w:r>
        <w:rPr>
          <w:rFonts w:cs="Arial"/>
          <w:color w:val="333333"/>
          <w:shd w:val="clear" w:color="auto" w:fill="FFFFFF"/>
        </w:rPr>
        <w:t>, </w:t>
      </w:r>
      <w:r>
        <w:rPr>
          <w:rFonts w:cs="Arial"/>
          <w:i/>
          <w:iCs/>
          <w:color w:val="333333"/>
          <w:shd w:val="clear" w:color="auto" w:fill="FFFFFF"/>
        </w:rPr>
        <w:t>21</w:t>
      </w:r>
      <w:r>
        <w:rPr>
          <w:rFonts w:cs="Arial"/>
          <w:color w:val="333333"/>
          <w:shd w:val="clear" w:color="auto" w:fill="FFFFFF"/>
        </w:rPr>
        <w:t>(1). https://doi.org/10.1080/1547691X.2024.2414979</w:t>
      </w:r>
      <w:r w:rsidR="00287CDA">
        <w:rPr>
          <w:rFonts w:cs="Arial"/>
        </w:rPr>
        <w:t xml:space="preserve"> </w:t>
      </w:r>
    </w:p>
    <w:p w14:paraId="5570ED48" w14:textId="77777777" w:rsidR="001E341C" w:rsidRPr="00CC7356" w:rsidRDefault="001E341C" w:rsidP="00CC7356">
      <w:pPr>
        <w:spacing w:line="240" w:lineRule="auto"/>
        <w:rPr>
          <w:rFonts w:cs="Arial"/>
          <w:b/>
          <w:bCs/>
        </w:rPr>
      </w:pPr>
    </w:p>
    <w:p w14:paraId="18E44B34" w14:textId="661BD96C" w:rsidR="00EE6D87" w:rsidRPr="00CC7356" w:rsidRDefault="00EE6D87" w:rsidP="00CC7356">
      <w:pPr>
        <w:spacing w:line="240" w:lineRule="auto"/>
        <w:rPr>
          <w:rFonts w:cs="Arial"/>
          <w:b/>
          <w:bCs/>
          <w:u w:val="single"/>
        </w:rPr>
      </w:pPr>
      <w:r w:rsidRPr="00CC7356">
        <w:rPr>
          <w:rFonts w:cs="Arial"/>
          <w:b/>
          <w:bCs/>
          <w:u w:val="single"/>
        </w:rPr>
        <w:t>Acknowledgements:</w:t>
      </w:r>
    </w:p>
    <w:p w14:paraId="4EFC94F1" w14:textId="5EB5610D" w:rsidR="00A3154E" w:rsidRPr="00CC7356" w:rsidRDefault="001E341C" w:rsidP="00CC7356">
      <w:pPr>
        <w:pStyle w:val="ListParagraph"/>
        <w:numPr>
          <w:ilvl w:val="0"/>
          <w:numId w:val="3"/>
        </w:numPr>
        <w:spacing w:line="240" w:lineRule="auto"/>
        <w:rPr>
          <w:rFonts w:cs="Arial"/>
        </w:rPr>
      </w:pPr>
      <w:r w:rsidRPr="00CC7356">
        <w:rPr>
          <w:rFonts w:cs="Arial"/>
        </w:rPr>
        <w:t>This project was completed with funds associated with CAN#: 9390</w:t>
      </w:r>
      <w:r w:rsidR="00B04986" w:rsidRPr="00CC7356">
        <w:rPr>
          <w:rFonts w:cs="Arial"/>
        </w:rPr>
        <w:t>HTQ</w:t>
      </w:r>
    </w:p>
    <w:p w14:paraId="10D7453E" w14:textId="170B99B1" w:rsidR="001E341C" w:rsidRPr="00CC7356" w:rsidRDefault="001E341C" w:rsidP="00CC7356">
      <w:pPr>
        <w:pStyle w:val="ListParagraph"/>
        <w:numPr>
          <w:ilvl w:val="0"/>
          <w:numId w:val="3"/>
        </w:numPr>
        <w:spacing w:line="240" w:lineRule="auto"/>
        <w:rPr>
          <w:rFonts w:cs="Arial"/>
        </w:rPr>
      </w:pPr>
      <w:r w:rsidRPr="00CC7356">
        <w:rPr>
          <w:rFonts w:cs="Arial"/>
        </w:rPr>
        <w:t>Authors:</w:t>
      </w:r>
    </w:p>
    <w:p w14:paraId="3866BA46" w14:textId="4FCA4042" w:rsidR="00EE6D87" w:rsidRPr="00CC7356" w:rsidRDefault="00EE6D87" w:rsidP="00CC7356">
      <w:pPr>
        <w:pStyle w:val="ListParagraph"/>
        <w:numPr>
          <w:ilvl w:val="1"/>
          <w:numId w:val="3"/>
        </w:numPr>
        <w:spacing w:line="240" w:lineRule="auto"/>
        <w:rPr>
          <w:rFonts w:cs="Arial"/>
        </w:rPr>
      </w:pPr>
      <w:r w:rsidRPr="00CC7356">
        <w:rPr>
          <w:rFonts w:cs="Arial"/>
        </w:rPr>
        <w:t xml:space="preserve">Katie Roach, </w:t>
      </w:r>
      <w:hyperlink r:id="rId7" w:history="1">
        <w:r w:rsidRPr="00CC7356">
          <w:rPr>
            <w:rStyle w:val="Hyperlink"/>
            <w:rFonts w:cs="Arial"/>
          </w:rPr>
          <w:t>wvq1@cdc.gov</w:t>
        </w:r>
      </w:hyperlink>
      <w:r w:rsidRPr="00CC7356">
        <w:rPr>
          <w:rFonts w:cs="Arial"/>
        </w:rPr>
        <w:t>, Health Effects Laboratory Division, National Institute for Occupational Safety and Health, Morgantown, WV 26508</w:t>
      </w:r>
    </w:p>
    <w:p w14:paraId="66FDC73B" w14:textId="721E79F3" w:rsidR="00B04986" w:rsidRPr="00CC7356" w:rsidRDefault="00B04986" w:rsidP="00CC7356">
      <w:pPr>
        <w:pStyle w:val="ListParagraph"/>
        <w:numPr>
          <w:ilvl w:val="1"/>
          <w:numId w:val="3"/>
        </w:numPr>
        <w:spacing w:line="240" w:lineRule="auto"/>
        <w:rPr>
          <w:rFonts w:cs="Arial"/>
        </w:rPr>
      </w:pPr>
      <w:r w:rsidRPr="00CC7356">
        <w:rPr>
          <w:rFonts w:cs="Arial"/>
        </w:rPr>
        <w:t xml:space="preserve">Stacey Anderson, </w:t>
      </w:r>
      <w:hyperlink r:id="rId8" w:history="1">
        <w:r w:rsidRPr="00CC7356">
          <w:rPr>
            <w:rStyle w:val="Hyperlink"/>
            <w:rFonts w:cs="Arial"/>
          </w:rPr>
          <w:t>dbx7@cdc.gov</w:t>
        </w:r>
      </w:hyperlink>
      <w:r w:rsidRPr="00CC7356">
        <w:rPr>
          <w:rFonts w:cs="Arial"/>
        </w:rPr>
        <w:t>, Health Effects Laboratory Division, National Institute for Occupational Safety and Health, Morgantown, WV 26508</w:t>
      </w:r>
    </w:p>
    <w:p w14:paraId="2741228F" w14:textId="5D2B05A6" w:rsidR="008A141E" w:rsidRPr="00CC7356" w:rsidRDefault="008A141E" w:rsidP="008A141E">
      <w:pPr>
        <w:pStyle w:val="ListParagraph"/>
        <w:numPr>
          <w:ilvl w:val="1"/>
          <w:numId w:val="3"/>
        </w:numPr>
        <w:spacing w:line="240" w:lineRule="auto"/>
        <w:rPr>
          <w:rFonts w:cs="Arial"/>
        </w:rPr>
      </w:pPr>
      <w:r>
        <w:rPr>
          <w:rFonts w:cs="Arial"/>
        </w:rPr>
        <w:t>Caitlin Waggy</w:t>
      </w:r>
      <w:r w:rsidRPr="00CC7356">
        <w:rPr>
          <w:rFonts w:cs="Arial"/>
        </w:rPr>
        <w:t xml:space="preserve">, </w:t>
      </w:r>
      <w:hyperlink r:id="rId9" w:history="1">
        <w:r w:rsidRPr="008A141E">
          <w:rPr>
            <w:rStyle w:val="Hyperlink"/>
            <w:rFonts w:cs="Arial"/>
          </w:rPr>
          <w:t>ooi7@cdc.gov</w:t>
        </w:r>
      </w:hyperlink>
      <w:r w:rsidRPr="00CC7356">
        <w:rPr>
          <w:rFonts w:cs="Arial"/>
        </w:rPr>
        <w:t>, Health Effects Laboratory Division, National Institute for Occupational Safety and Health, Morgantown, WV 26508</w:t>
      </w:r>
    </w:p>
    <w:p w14:paraId="02AC11D6" w14:textId="6DEC3F8F" w:rsidR="008A141E" w:rsidRPr="00CC7356" w:rsidRDefault="008A141E" w:rsidP="008A141E">
      <w:pPr>
        <w:pStyle w:val="ListParagraph"/>
        <w:numPr>
          <w:ilvl w:val="1"/>
          <w:numId w:val="3"/>
        </w:numPr>
        <w:spacing w:line="240" w:lineRule="auto"/>
        <w:rPr>
          <w:rFonts w:cs="Arial"/>
        </w:rPr>
      </w:pPr>
      <w:r>
        <w:rPr>
          <w:rFonts w:cs="Arial"/>
        </w:rPr>
        <w:t>Joni Aldinger</w:t>
      </w:r>
      <w:r w:rsidRPr="00CC7356">
        <w:rPr>
          <w:rFonts w:cs="Arial"/>
        </w:rPr>
        <w:t xml:space="preserve">, </w:t>
      </w:r>
      <w:hyperlink r:id="rId10" w:history="1">
        <w:r w:rsidRPr="008A141E">
          <w:rPr>
            <w:rStyle w:val="Hyperlink"/>
            <w:rFonts w:cs="Arial"/>
          </w:rPr>
          <w:t>liz0@cdc.gov</w:t>
        </w:r>
      </w:hyperlink>
      <w:r w:rsidRPr="00CC7356">
        <w:rPr>
          <w:rFonts w:cs="Arial"/>
        </w:rPr>
        <w:t>, Health Effects Laboratory Division, National Institute for Occupational Safety and Health, Morgantown, WV 26508</w:t>
      </w:r>
    </w:p>
    <w:p w14:paraId="16395B36" w14:textId="31ADE347" w:rsidR="00B04986" w:rsidRPr="00CC7356" w:rsidRDefault="00B04986" w:rsidP="00CC7356">
      <w:pPr>
        <w:pStyle w:val="ListParagraph"/>
        <w:numPr>
          <w:ilvl w:val="1"/>
          <w:numId w:val="3"/>
        </w:numPr>
        <w:spacing w:line="240" w:lineRule="auto"/>
        <w:rPr>
          <w:rFonts w:cs="Arial"/>
        </w:rPr>
      </w:pPr>
      <w:r w:rsidRPr="00CC7356">
        <w:rPr>
          <w:rFonts w:cs="Arial"/>
        </w:rPr>
        <w:t xml:space="preserve">Aleks Stefaniak, </w:t>
      </w:r>
      <w:hyperlink r:id="rId11" w:history="1">
        <w:r w:rsidRPr="00CC7356">
          <w:rPr>
            <w:rStyle w:val="Hyperlink"/>
            <w:rFonts w:cs="Arial"/>
          </w:rPr>
          <w:t>boq9@cdc.gov</w:t>
        </w:r>
      </w:hyperlink>
      <w:r w:rsidRPr="00CC7356">
        <w:rPr>
          <w:rFonts w:cs="Arial"/>
        </w:rPr>
        <w:t>, Respiratory Health Division, National Institute for Occupational Safety and Health, Morgantown, WV 26508</w:t>
      </w:r>
    </w:p>
    <w:p w14:paraId="1702F8A5" w14:textId="4A4F8067" w:rsidR="00A3154E" w:rsidRPr="00CC7356" w:rsidRDefault="00A3154E" w:rsidP="00CC7356">
      <w:pPr>
        <w:pStyle w:val="ListParagraph"/>
        <w:numPr>
          <w:ilvl w:val="1"/>
          <w:numId w:val="3"/>
        </w:numPr>
        <w:spacing w:line="240" w:lineRule="auto"/>
        <w:rPr>
          <w:rFonts w:cs="Arial"/>
        </w:rPr>
      </w:pPr>
      <w:r w:rsidRPr="00CC7356">
        <w:rPr>
          <w:rFonts w:cs="Arial"/>
        </w:rPr>
        <w:t xml:space="preserve">Jenny Roberts, </w:t>
      </w:r>
      <w:hyperlink r:id="rId12" w:history="1">
        <w:r w:rsidRPr="00CC7356">
          <w:rPr>
            <w:rStyle w:val="Hyperlink"/>
            <w:rFonts w:cs="Arial"/>
          </w:rPr>
          <w:t>jur6@cdc.gov</w:t>
        </w:r>
      </w:hyperlink>
      <w:r w:rsidRPr="00CC7356">
        <w:rPr>
          <w:rFonts w:cs="Arial"/>
        </w:rPr>
        <w:t>, Health Effects Laboratory Division, National Institute for Occupational Safety and Health, Morgantown, WV 26508</w:t>
      </w:r>
    </w:p>
    <w:p w14:paraId="79AFFEBA" w14:textId="6FCC307C" w:rsidR="00EE6D87" w:rsidRPr="00CC7356" w:rsidRDefault="00EE6D87" w:rsidP="00CC7356">
      <w:pPr>
        <w:spacing w:line="240" w:lineRule="auto"/>
        <w:rPr>
          <w:rFonts w:cs="Arial"/>
        </w:rPr>
      </w:pPr>
    </w:p>
    <w:p w14:paraId="3B8BD57E" w14:textId="77777777" w:rsidR="001E341C" w:rsidRPr="00CC7356" w:rsidRDefault="001E341C" w:rsidP="00CC7356">
      <w:pPr>
        <w:spacing w:line="240" w:lineRule="auto"/>
        <w:rPr>
          <w:rFonts w:cs="Arial"/>
          <w:b/>
          <w:bCs/>
        </w:rPr>
      </w:pPr>
    </w:p>
    <w:p w14:paraId="076CFC43" w14:textId="4C17790D" w:rsidR="00EE6D87" w:rsidRPr="00CC7356" w:rsidRDefault="00EE6D87" w:rsidP="00CC7356">
      <w:pPr>
        <w:spacing w:line="240" w:lineRule="auto"/>
        <w:rPr>
          <w:rFonts w:cs="Arial"/>
          <w:b/>
          <w:bCs/>
          <w:u w:val="single"/>
        </w:rPr>
      </w:pPr>
      <w:r w:rsidRPr="00CC7356">
        <w:rPr>
          <w:rFonts w:cs="Arial"/>
          <w:b/>
          <w:bCs/>
          <w:u w:val="single"/>
        </w:rPr>
        <w:t xml:space="preserve">Contact Point for Further Information: </w:t>
      </w:r>
    </w:p>
    <w:p w14:paraId="59952312" w14:textId="77777777" w:rsidR="00A3154E" w:rsidRPr="00CC7356" w:rsidRDefault="00A3154E" w:rsidP="00CC7356">
      <w:pPr>
        <w:spacing w:line="240" w:lineRule="auto"/>
        <w:rPr>
          <w:rFonts w:cs="Arial"/>
        </w:rPr>
      </w:pPr>
    </w:p>
    <w:p w14:paraId="6B774B9F" w14:textId="51A82A47" w:rsidR="00A3154E" w:rsidRPr="00CC7356" w:rsidRDefault="00A3154E" w:rsidP="00CC7356">
      <w:pPr>
        <w:spacing w:line="240" w:lineRule="auto"/>
        <w:rPr>
          <w:rFonts w:cs="Arial"/>
        </w:rPr>
      </w:pPr>
      <w:r w:rsidRPr="00CC7356">
        <w:rPr>
          <w:rFonts w:cs="Arial"/>
        </w:rPr>
        <w:t>Allergy and Clinical Immunology Branch</w:t>
      </w:r>
    </w:p>
    <w:p w14:paraId="3B6ABA9D" w14:textId="3E5CD186" w:rsidR="00A3154E" w:rsidRPr="00CC7356" w:rsidRDefault="00A3154E" w:rsidP="00CC7356">
      <w:pPr>
        <w:spacing w:line="240" w:lineRule="auto"/>
        <w:rPr>
          <w:rFonts w:cs="Arial"/>
        </w:rPr>
      </w:pPr>
      <w:r w:rsidRPr="00CC7356">
        <w:rPr>
          <w:rFonts w:cs="Arial"/>
        </w:rPr>
        <w:t>Health Effects Laboratory Division</w:t>
      </w:r>
    </w:p>
    <w:p w14:paraId="09DEC8DD" w14:textId="1BB5D064" w:rsidR="00A3154E" w:rsidRPr="00CC7356" w:rsidRDefault="00A3154E" w:rsidP="00CC7356">
      <w:pPr>
        <w:spacing w:line="240" w:lineRule="auto"/>
        <w:rPr>
          <w:rFonts w:cs="Arial"/>
        </w:rPr>
      </w:pPr>
      <w:r w:rsidRPr="00CC7356">
        <w:rPr>
          <w:rFonts w:cs="Arial"/>
        </w:rPr>
        <w:t>National Institute for Occupational Safety and Health</w:t>
      </w:r>
    </w:p>
    <w:p w14:paraId="29083CBC" w14:textId="7AF99406" w:rsidR="00A3154E" w:rsidRPr="00CC7356" w:rsidRDefault="00A3154E" w:rsidP="00CC7356">
      <w:pPr>
        <w:spacing w:line="240" w:lineRule="auto"/>
        <w:rPr>
          <w:rFonts w:cs="Arial"/>
        </w:rPr>
      </w:pPr>
      <w:r w:rsidRPr="00CC7356">
        <w:rPr>
          <w:rFonts w:cs="Arial"/>
        </w:rPr>
        <w:t>Centers for Disease Control and Prevention</w:t>
      </w:r>
    </w:p>
    <w:p w14:paraId="53B09F71" w14:textId="0A08813E" w:rsidR="00A3154E" w:rsidRPr="00CC7356" w:rsidRDefault="00A3154E" w:rsidP="00CC7356">
      <w:pPr>
        <w:spacing w:line="240" w:lineRule="auto"/>
        <w:rPr>
          <w:rFonts w:cs="Arial"/>
        </w:rPr>
      </w:pPr>
      <w:r w:rsidRPr="00CC7356">
        <w:rPr>
          <w:rFonts w:cs="Arial"/>
        </w:rPr>
        <w:t>1000 Frederick Lane (Mailstop 4020)</w:t>
      </w:r>
    </w:p>
    <w:p w14:paraId="0352ED96" w14:textId="720962F1" w:rsidR="00A3154E" w:rsidRPr="00CC7356" w:rsidRDefault="00A3154E" w:rsidP="00CC7356">
      <w:pPr>
        <w:spacing w:line="240" w:lineRule="auto"/>
        <w:rPr>
          <w:rFonts w:cs="Arial"/>
        </w:rPr>
      </w:pPr>
      <w:r w:rsidRPr="00CC7356">
        <w:rPr>
          <w:rFonts w:cs="Arial"/>
        </w:rPr>
        <w:t>Morgantown, WV 26508</w:t>
      </w:r>
    </w:p>
    <w:p w14:paraId="561ABAFB" w14:textId="6051127A" w:rsidR="00A3154E" w:rsidRPr="00CC7356" w:rsidRDefault="00A3154E" w:rsidP="00CC7356">
      <w:pPr>
        <w:spacing w:line="240" w:lineRule="auto"/>
        <w:rPr>
          <w:rFonts w:cs="Arial"/>
        </w:rPr>
      </w:pPr>
      <w:r w:rsidRPr="00CC7356">
        <w:rPr>
          <w:rFonts w:cs="Arial"/>
        </w:rPr>
        <w:t>Phone: 304.285.</w:t>
      </w:r>
      <w:r w:rsidR="00287CDA">
        <w:rPr>
          <w:rFonts w:cs="Arial"/>
        </w:rPr>
        <w:t>6024</w:t>
      </w:r>
    </w:p>
    <w:sectPr w:rsidR="00A3154E" w:rsidRPr="00CC7356" w:rsidSect="005C0A49">
      <w:pgSz w:w="12240" w:h="15840"/>
      <w:pgMar w:top="1080" w:right="1080" w:bottom="108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368C97" w14:textId="77777777" w:rsidR="00925607" w:rsidRDefault="00925607" w:rsidP="00925607">
      <w:pPr>
        <w:spacing w:line="240" w:lineRule="auto"/>
      </w:pPr>
      <w:r>
        <w:separator/>
      </w:r>
    </w:p>
  </w:endnote>
  <w:endnote w:type="continuationSeparator" w:id="0">
    <w:p w14:paraId="571B515A" w14:textId="77777777" w:rsidR="00925607" w:rsidRDefault="00925607" w:rsidP="0092560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DF38E4" w14:textId="77777777" w:rsidR="00925607" w:rsidRDefault="00925607" w:rsidP="00925607">
      <w:pPr>
        <w:spacing w:line="240" w:lineRule="auto"/>
      </w:pPr>
      <w:r>
        <w:separator/>
      </w:r>
    </w:p>
  </w:footnote>
  <w:footnote w:type="continuationSeparator" w:id="0">
    <w:p w14:paraId="5F9E5204" w14:textId="77777777" w:rsidR="00925607" w:rsidRDefault="00925607" w:rsidP="00925607">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7B32958"/>
    <w:multiLevelType w:val="hybridMultilevel"/>
    <w:tmpl w:val="A3FC63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1C304A9"/>
    <w:multiLevelType w:val="hybridMultilevel"/>
    <w:tmpl w:val="FC04E0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804504F"/>
    <w:multiLevelType w:val="hybridMultilevel"/>
    <w:tmpl w:val="6492BE1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69E844E5"/>
    <w:multiLevelType w:val="hybridMultilevel"/>
    <w:tmpl w:val="8448474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876306613">
    <w:abstractNumId w:val="2"/>
  </w:num>
  <w:num w:numId="2" w16cid:durableId="1218853215">
    <w:abstractNumId w:val="0"/>
  </w:num>
  <w:num w:numId="3" w16cid:durableId="1770084461">
    <w:abstractNumId w:val="3"/>
  </w:num>
  <w:num w:numId="4" w16cid:durableId="101334434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10"/>
  <w:displayHorizontalDrawingGridEvery w:val="2"/>
  <w:displayVerticalDrawingGridEvery w:val="2"/>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6D87"/>
    <w:rsid w:val="00146BCF"/>
    <w:rsid w:val="001E341C"/>
    <w:rsid w:val="00216726"/>
    <w:rsid w:val="00287CDA"/>
    <w:rsid w:val="002E46A0"/>
    <w:rsid w:val="0042104A"/>
    <w:rsid w:val="004A2F5E"/>
    <w:rsid w:val="00514149"/>
    <w:rsid w:val="005C0A49"/>
    <w:rsid w:val="005E232A"/>
    <w:rsid w:val="006749E2"/>
    <w:rsid w:val="00784DE7"/>
    <w:rsid w:val="007956F8"/>
    <w:rsid w:val="007E3614"/>
    <w:rsid w:val="00821DE5"/>
    <w:rsid w:val="008A141E"/>
    <w:rsid w:val="00925607"/>
    <w:rsid w:val="009A0470"/>
    <w:rsid w:val="00A21545"/>
    <w:rsid w:val="00A3154E"/>
    <w:rsid w:val="00AC1518"/>
    <w:rsid w:val="00B04986"/>
    <w:rsid w:val="00CC7356"/>
    <w:rsid w:val="00E00FFC"/>
    <w:rsid w:val="00E32820"/>
    <w:rsid w:val="00EE6D87"/>
    <w:rsid w:val="00F842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DF597DE"/>
  <w15:chartTrackingRefBased/>
  <w15:docId w15:val="{8F3F47C9-BCF0-45EF-B211-EE77A8419F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Calibri"/>
        <w:sz w:val="22"/>
        <w:szCs w:val="22"/>
        <w:lang w:val="en-US" w:eastAsia="en-US" w:bidi="ar-SA"/>
      </w:rPr>
    </w:rPrDefault>
    <w:pPrDefault>
      <w:pPr>
        <w:spacing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
    <w:unhideWhenUsed/>
    <w:qFormat/>
    <w:rsid w:val="007E3614"/>
    <w:pPr>
      <w:spacing w:before="160" w:after="120" w:line="480" w:lineRule="auto"/>
      <w:outlineLvl w:val="1"/>
    </w:pPr>
    <w:rPr>
      <w:rFonts w:eastAsiaTheme="majorEastAsia" w:cstheme="majorBidi"/>
      <w:i/>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E6D87"/>
    <w:pPr>
      <w:ind w:left="720"/>
      <w:contextualSpacing/>
    </w:pPr>
  </w:style>
  <w:style w:type="character" w:styleId="Hyperlink">
    <w:name w:val="Hyperlink"/>
    <w:basedOn w:val="DefaultParagraphFont"/>
    <w:uiPriority w:val="99"/>
    <w:unhideWhenUsed/>
    <w:rsid w:val="00EE6D87"/>
    <w:rPr>
      <w:color w:val="0563C1" w:themeColor="hyperlink"/>
      <w:u w:val="single"/>
    </w:rPr>
  </w:style>
  <w:style w:type="character" w:styleId="UnresolvedMention">
    <w:name w:val="Unresolved Mention"/>
    <w:basedOn w:val="DefaultParagraphFont"/>
    <w:uiPriority w:val="99"/>
    <w:semiHidden/>
    <w:unhideWhenUsed/>
    <w:rsid w:val="00EE6D87"/>
    <w:rPr>
      <w:color w:val="605E5C"/>
      <w:shd w:val="clear" w:color="auto" w:fill="E1DFDD"/>
    </w:rPr>
  </w:style>
  <w:style w:type="character" w:customStyle="1" w:styleId="Heading2Char">
    <w:name w:val="Heading 2 Char"/>
    <w:basedOn w:val="DefaultParagraphFont"/>
    <w:link w:val="Heading2"/>
    <w:uiPriority w:val="9"/>
    <w:rsid w:val="007E3614"/>
    <w:rPr>
      <w:rFonts w:eastAsiaTheme="majorEastAsia" w:cstheme="majorBidi"/>
      <w:i/>
      <w:szCs w:val="26"/>
    </w:rPr>
  </w:style>
  <w:style w:type="paragraph" w:styleId="NoSpacing">
    <w:name w:val="No Spacing"/>
    <w:link w:val="NoSpacingChar"/>
    <w:uiPriority w:val="1"/>
    <w:qFormat/>
    <w:rsid w:val="007E3614"/>
    <w:pPr>
      <w:spacing w:line="240" w:lineRule="auto"/>
    </w:pPr>
    <w:rPr>
      <w:rFonts w:cs="Times New Roman"/>
      <w:szCs w:val="24"/>
    </w:rPr>
  </w:style>
  <w:style w:type="character" w:customStyle="1" w:styleId="NoSpacingChar">
    <w:name w:val="No Spacing Char"/>
    <w:basedOn w:val="DefaultParagraphFont"/>
    <w:link w:val="NoSpacing"/>
    <w:uiPriority w:val="1"/>
    <w:rsid w:val="007E3614"/>
    <w:rPr>
      <w:rFonts w:cs="Times New Roman"/>
      <w:szCs w:val="24"/>
    </w:rPr>
  </w:style>
  <w:style w:type="character" w:styleId="Emphasis">
    <w:name w:val="Emphasis"/>
    <w:basedOn w:val="DefaultParagraphFont"/>
    <w:uiPriority w:val="20"/>
    <w:qFormat/>
    <w:rsid w:val="007E3614"/>
    <w:rPr>
      <w:i/>
      <w:iCs/>
    </w:rPr>
  </w:style>
  <w:style w:type="paragraph" w:customStyle="1" w:styleId="EndNoteBibliography">
    <w:name w:val="EndNote Bibliography"/>
    <w:basedOn w:val="Normal"/>
    <w:link w:val="EndNoteBibliographyChar"/>
    <w:rsid w:val="00B04986"/>
    <w:pPr>
      <w:spacing w:line="240" w:lineRule="auto"/>
    </w:pPr>
    <w:rPr>
      <w:rFonts w:cs="Arial"/>
      <w:noProof/>
    </w:rPr>
  </w:style>
  <w:style w:type="character" w:customStyle="1" w:styleId="EndNoteBibliographyChar">
    <w:name w:val="EndNote Bibliography Char"/>
    <w:basedOn w:val="DefaultParagraphFont"/>
    <w:link w:val="EndNoteBibliography"/>
    <w:rsid w:val="00B04986"/>
    <w:rPr>
      <w:rFonts w:cs="Arial"/>
      <w:noProof/>
    </w:rPr>
  </w:style>
  <w:style w:type="paragraph" w:styleId="Revision">
    <w:name w:val="Revision"/>
    <w:hidden/>
    <w:uiPriority w:val="99"/>
    <w:semiHidden/>
    <w:rsid w:val="008A141E"/>
    <w:pPr>
      <w:spacing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bx7@cdc.gov"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wvq1@cdc.gov" TargetMode="External"/><Relationship Id="rId12" Type="http://schemas.openxmlformats.org/officeDocument/2006/relationships/hyperlink" Target="mailto:jur6@cdc.gov"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boq9@cdc.gov" TargetMode="External"/><Relationship Id="rId5" Type="http://schemas.openxmlformats.org/officeDocument/2006/relationships/footnotes" Target="footnotes.xml"/><Relationship Id="rId10" Type="http://schemas.openxmlformats.org/officeDocument/2006/relationships/hyperlink" Target="mailto:liz0@cdc.gov" TargetMode="External"/><Relationship Id="rId4" Type="http://schemas.openxmlformats.org/officeDocument/2006/relationships/webSettings" Target="webSettings.xml"/><Relationship Id="rId9" Type="http://schemas.openxmlformats.org/officeDocument/2006/relationships/hyperlink" Target="mailto:ooi7@cdc.gov"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850</Words>
  <Characters>4850</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Roach, Katherine Adair (CDC/NIOSH/HELD/ACIB)</dc:creator>
  <cp:keywords/>
  <dc:description/>
  <cp:lastModifiedBy>Strahin, Jennifer (CDC/NIOSH/HELD)</cp:lastModifiedBy>
  <cp:revision>3</cp:revision>
  <dcterms:created xsi:type="dcterms:W3CDTF">2024-12-09T12:39:00Z</dcterms:created>
  <dcterms:modified xsi:type="dcterms:W3CDTF">2024-12-09T12:47:00Z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8af03ff0-41c5-4c41-b55e-fabb8fae94be_Enabled">
    <vt:lpwstr>true</vt:lpwstr>
  </property>
  <property fmtid="{D5CDD505-2E9C-101B-9397-08002B2CF9AE}" pid="3" name="MSIP_Label_8af03ff0-41c5-4c41-b55e-fabb8fae94be_SetDate">
    <vt:lpwstr>2022-07-25T14:52:23Z</vt:lpwstr>
  </property>
  <property fmtid="{D5CDD505-2E9C-101B-9397-08002B2CF9AE}" pid="4" name="MSIP_Label_8af03ff0-41c5-4c41-b55e-fabb8fae94be_Method">
    <vt:lpwstr>Privileged</vt:lpwstr>
  </property>
  <property fmtid="{D5CDD505-2E9C-101B-9397-08002B2CF9AE}" pid="5" name="MSIP_Label_8af03ff0-41c5-4c41-b55e-fabb8fae94be_Name">
    <vt:lpwstr>8af03ff0-41c5-4c41-b55e-fabb8fae94be</vt:lpwstr>
  </property>
  <property fmtid="{D5CDD505-2E9C-101B-9397-08002B2CF9AE}" pid="6" name="MSIP_Label_8af03ff0-41c5-4c41-b55e-fabb8fae94be_SiteId">
    <vt:lpwstr>9ce70869-60db-44fd-abe8-d2767077fc8f</vt:lpwstr>
  </property>
  <property fmtid="{D5CDD505-2E9C-101B-9397-08002B2CF9AE}" pid="7" name="MSIP_Label_8af03ff0-41c5-4c41-b55e-fabb8fae94be_ActionId">
    <vt:lpwstr>a72431f9-5d0a-4e9e-8ca0-71eff1cba6ec</vt:lpwstr>
  </property>
  <property fmtid="{D5CDD505-2E9C-101B-9397-08002B2CF9AE}" pid="8" name="MSIP_Label_8af03ff0-41c5-4c41-b55e-fabb8fae94be_ContentBits">
    <vt:lpwstr>0</vt:lpwstr>
  </property>
</Properties>
</file>